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2022年校级教育研究类课题选题指南</w:t>
      </w:r>
    </w:p>
    <w:p>
      <w:pPr>
        <w:spacing w:line="540" w:lineRule="exact"/>
        <w:ind w:firstLine="560" w:firstLineChars="20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一、定向课题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职业教育专业本科办学模式研究                  （教务处）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基于产教融合的产业学院建设路径研究 </w:t>
      </w:r>
      <w:r>
        <w:rPr>
          <w:rFonts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（校企办）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职教本科视阈下学校高水平师资队伍建设路径研究  （人事处）</w:t>
      </w:r>
    </w:p>
    <w:p>
      <w:pPr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新职业教育法施行背景下的学校高质量发展研究 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（高教所）</w:t>
      </w:r>
    </w:p>
    <w:p>
      <w:pPr>
        <w:spacing w:line="540" w:lineRule="exact"/>
        <w:ind w:firstLine="560" w:firstLineChars="200"/>
        <w:jc w:val="lef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</w:t>
      </w:r>
      <w:r>
        <w:rPr>
          <w:rFonts w:ascii="仿宋" w:hAnsi="仿宋" w:eastAsia="仿宋" w:cs="仿宋"/>
          <w:color w:val="auto"/>
          <w:sz w:val="28"/>
          <w:szCs w:val="28"/>
        </w:rPr>
        <w:t>“一站式”学生社区综合管理模式的实践与探索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（学工处）</w:t>
      </w:r>
    </w:p>
    <w:p>
      <w:pPr>
        <w:spacing w:line="540" w:lineRule="exact"/>
        <w:ind w:firstLine="560" w:firstLineChars="20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</w:t>
      </w:r>
      <w:r>
        <w:rPr>
          <w:rFonts w:ascii="黑体" w:hAnsi="黑体" w:eastAsia="黑体" w:cs="仿宋"/>
          <w:sz w:val="28"/>
          <w:szCs w:val="28"/>
        </w:rPr>
        <w:t>、重点课题</w:t>
      </w:r>
      <w:r>
        <w:rPr>
          <w:rFonts w:hint="eastAsia" w:ascii="黑体" w:hAnsi="黑体" w:eastAsia="黑体" w:cs="仿宋"/>
          <w:sz w:val="28"/>
          <w:szCs w:val="28"/>
        </w:rPr>
        <w:t>、</w:t>
      </w:r>
      <w:r>
        <w:rPr>
          <w:rFonts w:ascii="黑体" w:hAnsi="黑体" w:eastAsia="黑体" w:cs="仿宋"/>
          <w:sz w:val="28"/>
          <w:szCs w:val="28"/>
        </w:rPr>
        <w:t>一般课题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1.政策理论</w:t>
      </w:r>
      <w:r>
        <w:rPr>
          <w:rFonts w:ascii="楷体" w:hAnsi="楷体" w:eastAsia="楷体" w:cs="仿宋"/>
          <w:b/>
          <w:sz w:val="28"/>
          <w:szCs w:val="28"/>
        </w:rPr>
        <w:t>类</w:t>
      </w:r>
      <w:bookmarkStart w:id="0" w:name="_GoBack"/>
      <w:bookmarkEnd w:id="0"/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学校“双高计划”建设推进策略研究 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技能型社会的理论内涵与建设路径研究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本科层次职业教育理论与实践研究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职教高考制度的相关理论与政策研究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现代职业教育高质量发展研究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中国特色学徒制理论与实践研究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高等职业教育的国际比较研究 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ascii="楷体" w:hAnsi="楷体" w:eastAsia="楷体" w:cs="仿宋"/>
          <w:b/>
          <w:sz w:val="28"/>
          <w:szCs w:val="28"/>
        </w:rPr>
        <w:t>2.</w:t>
      </w:r>
      <w:r>
        <w:rPr>
          <w:rFonts w:hint="eastAsia" w:ascii="楷体" w:hAnsi="楷体" w:eastAsia="楷体" w:cs="仿宋"/>
          <w:b/>
          <w:sz w:val="28"/>
          <w:szCs w:val="28"/>
        </w:rPr>
        <w:t>立德树人类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德技并修育人机制研究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学业支持体系的构建与实践研究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高职院校学生心理健康教育创新研究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高职院校“五育并举”教育体系建构研究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辅导员成长发展、</w:t>
      </w:r>
      <w:r>
        <w:rPr>
          <w:rFonts w:ascii="仿宋" w:hAnsi="仿宋" w:eastAsia="仿宋" w:cs="仿宋"/>
          <w:sz w:val="28"/>
          <w:szCs w:val="28"/>
        </w:rPr>
        <w:t>素质能力提升研究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3</w:t>
      </w:r>
      <w:r>
        <w:rPr>
          <w:rFonts w:ascii="楷体" w:hAnsi="楷体" w:eastAsia="楷体" w:cs="仿宋"/>
          <w:b/>
          <w:sz w:val="28"/>
          <w:szCs w:val="28"/>
        </w:rPr>
        <w:t>.</w:t>
      </w:r>
      <w:r>
        <w:rPr>
          <w:rFonts w:hint="eastAsia" w:ascii="楷体" w:hAnsi="楷体" w:eastAsia="楷体" w:cs="仿宋"/>
          <w:b/>
          <w:sz w:val="28"/>
          <w:szCs w:val="28"/>
        </w:rPr>
        <w:t>产教融合类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产教融合育人机制研究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高水平专业化产教融合实训基地建设研究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高职院校产业学院建设的实践研究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职业技能等级证书融入人才培养的实践研究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4</w:t>
      </w:r>
      <w:r>
        <w:rPr>
          <w:rFonts w:ascii="楷体" w:hAnsi="楷体" w:eastAsia="楷体" w:cs="仿宋"/>
          <w:b/>
          <w:sz w:val="28"/>
          <w:szCs w:val="28"/>
        </w:rPr>
        <w:t>.</w:t>
      </w:r>
      <w:r>
        <w:rPr>
          <w:rFonts w:hint="eastAsia" w:ascii="楷体" w:hAnsi="楷体" w:eastAsia="楷体" w:cs="仿宋"/>
          <w:b/>
          <w:sz w:val="28"/>
          <w:szCs w:val="28"/>
        </w:rPr>
        <w:t>教师专业发展类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职业院校教师信息化教学能力提升研究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职业院校教师专业发展问题的实证研究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职业院校教师激励保障机制研究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兼职教师队伍建设与管理机制研究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职业院校教师心理健康问题研究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教师参加企业实践培训的案例研究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师德师风建设与考核研究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5</w:t>
      </w:r>
      <w:r>
        <w:rPr>
          <w:rFonts w:ascii="楷体" w:hAnsi="楷体" w:eastAsia="楷体" w:cs="仿宋"/>
          <w:b/>
          <w:sz w:val="28"/>
          <w:szCs w:val="28"/>
        </w:rPr>
        <w:t>.</w:t>
      </w:r>
      <w:r>
        <w:rPr>
          <w:rFonts w:hint="eastAsia" w:ascii="楷体" w:hAnsi="楷体" w:eastAsia="楷体" w:cs="仿宋"/>
          <w:b/>
          <w:sz w:val="28"/>
          <w:szCs w:val="28"/>
        </w:rPr>
        <w:t>创新创业教育研究类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新冠疫情对大学生就业创业影响研究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学生创新创业竞赛培育体系研究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创新创业教育与五育融合研究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高职院校创新创业师资培养及教学能力提升研究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高职院校学生创新创业能力培养路径研究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6.内部质量管理类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高职院校教学质量评价体系研究与实践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高职院校专业认证标准指标体系建立的调研和框架设计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高职院校内部质量保证体系研究与实践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高职院校共同治理指标体系研究与实践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7</w:t>
      </w:r>
      <w:r>
        <w:rPr>
          <w:rFonts w:ascii="楷体" w:hAnsi="楷体" w:eastAsia="楷体" w:cs="仿宋"/>
          <w:b/>
          <w:sz w:val="28"/>
          <w:szCs w:val="28"/>
        </w:rPr>
        <w:t>.</w:t>
      </w:r>
      <w:r>
        <w:rPr>
          <w:rFonts w:hint="eastAsia" w:ascii="楷体" w:hAnsi="楷体" w:eastAsia="楷体" w:cs="仿宋"/>
          <w:b/>
          <w:sz w:val="28"/>
          <w:szCs w:val="28"/>
        </w:rPr>
        <w:t>其他类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“十个一”工程实践创新研究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学校或二级学院高质量发展的瓶颈问题研究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职业院校品牌建设研究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实验实训室危机防范机制与对策研究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廉洁校园文化建设探索与实践研究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高职院校财务管理研究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学校突发公共卫生事件防控体系建设研究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新时代高等职业教育评价改革研究</w:t>
      </w:r>
    </w:p>
    <w:p>
      <w:pPr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8.辅导员专项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提升大学生思想政治教育质量有效路径与长效机制研究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中华优秀传统文化、社会主义先进文化融入大学生日常思想政治教育研究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少数民族学生教育管理创新研究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提升学生党支部活力理论与实践研究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08421CAD"/>
    <w:rsid w:val="00063B5C"/>
    <w:rsid w:val="00214B01"/>
    <w:rsid w:val="006B70C2"/>
    <w:rsid w:val="00A16DC2"/>
    <w:rsid w:val="00EC545F"/>
    <w:rsid w:val="08421CAD"/>
    <w:rsid w:val="457E1C49"/>
    <w:rsid w:val="4ACA28BD"/>
    <w:rsid w:val="53CC65F5"/>
    <w:rsid w:val="626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after="60" w:line="360" w:lineRule="auto"/>
      <w:ind w:firstLine="200" w:firstLineChars="200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3</Pages>
  <Words>912</Words>
  <Characters>927</Characters>
  <Lines>7</Lines>
  <Paragraphs>2</Paragraphs>
  <TotalTime>0</TotalTime>
  <ScaleCrop>false</ScaleCrop>
  <LinksUpToDate>false</LinksUpToDate>
  <CharactersWithSpaces>965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2022-09-21T06:54:00Z</dcterms:created>
  <dc:creator>趣多多</dc:creator>
  <cp:lastModifiedBy>趣多多</cp:lastModifiedBy>
  <dcterms:modified xsi:type="dcterms:W3CDTF">2022-09-22T07:28:33Z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52443960D1444726A82E3379A740EF82</vt:lpwstr>
  </property>
</Properties>
</file>